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1149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Савенко И.А.,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сведений о привлечении к административной ответственности не представлено,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182</w:t>
      </w:r>
      <w:r>
        <w:rPr>
          <w:rFonts w:ascii="Times New Roman" w:eastAsia="Times New Roman" w:hAnsi="Times New Roman" w:cs="Times New Roman"/>
        </w:rPr>
        <w:t>50004466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Савенко И.А.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исполнителем по договору на ведение бухгалтерского и налогового учета, заключенного с Региональной общественной организацие</w:t>
      </w:r>
      <w:r>
        <w:rPr>
          <w:rFonts w:ascii="Times New Roman" w:eastAsia="Times New Roman" w:hAnsi="Times New Roman" w:cs="Times New Roman"/>
        </w:rPr>
        <w:t>й Ассоциация онкологов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 д.40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пода. 5 п.2, п.6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ст.11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>«Об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</w:rPr>
        <w:t xml:space="preserve">льного социального страхования», </w:t>
      </w:r>
      <w:r>
        <w:rPr>
          <w:rFonts w:ascii="Times New Roman" w:eastAsia="Times New Roman" w:hAnsi="Times New Roman" w:cs="Times New Roman"/>
        </w:rPr>
        <w:t xml:space="preserve">в срок до 24 час. 00 мин. </w:t>
      </w:r>
      <w:r>
        <w:rPr>
          <w:rFonts w:ascii="Times New Roman" w:eastAsia="Times New Roman" w:hAnsi="Times New Roman" w:cs="Times New Roman"/>
        </w:rPr>
        <w:t>10.10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ХМАО–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 xml:space="preserve">сведения об прекращении </w:t>
      </w:r>
      <w:r>
        <w:rPr>
          <w:rFonts w:ascii="Times New Roman" w:eastAsia="Times New Roman" w:hAnsi="Times New Roman" w:cs="Times New Roman"/>
        </w:rPr>
        <w:t>09.10.2024</w:t>
      </w:r>
      <w:r>
        <w:rPr>
          <w:rFonts w:ascii="Times New Roman" w:eastAsia="Times New Roman" w:hAnsi="Times New Roman" w:cs="Times New Roman"/>
        </w:rPr>
        <w:t xml:space="preserve"> 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№05</w:t>
      </w:r>
      <w:r>
        <w:rPr>
          <w:rFonts w:ascii="Times New Roman" w:eastAsia="Times New Roman" w:hAnsi="Times New Roman" w:cs="Times New Roman"/>
        </w:rPr>
        <w:t xml:space="preserve">/2024, заключенного с застрахованным лицом Савенко И.А. (отчет по форме ЕФС-1 раздел 1 подраздел 1.1),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11.10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в 00:01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Савенко И.А. пояснила, что предоставляет отчетность, в том числе, в ОСФР по ХМАО-Югре, по договору гражданско-правового характера с РОО Ассоциация онкологов ХМАО-Югры. Отчет по форме ЕФС-1 раздел 1 подраздел 1.1 предоставила с нарушением сроков.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Выслушав Савенко И.А., 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</w:t>
      </w:r>
      <w:hyperlink r:id="rId4" w:anchor="/document/12125267/entry/153302" w:history="1">
        <w:r>
          <w:rPr>
            <w:rFonts w:ascii="Times New Roman" w:eastAsia="Times New Roman" w:hAnsi="Times New Roman" w:cs="Times New Roman"/>
            <w:color w:val="0000EE"/>
          </w:rPr>
          <w:t>ст.15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33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5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</w:t>
      </w:r>
      <w:r>
        <w:rPr>
          <w:rFonts w:ascii="Times New Roman" w:eastAsia="Times New Roman" w:hAnsi="Times New Roman" w:cs="Times New Roman"/>
        </w:rPr>
        <w:t>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ии установлено, что страхователем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РОО «Ассоциация онкологов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</w:rPr>
        <w:t>10.10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уточненные сведения по фо</w:t>
      </w:r>
      <w:r>
        <w:rPr>
          <w:rFonts w:ascii="Times New Roman" w:eastAsia="Times New Roman" w:hAnsi="Times New Roman" w:cs="Times New Roman"/>
        </w:rPr>
        <w:t>рме ЕФС-1 раздел 1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прекращении договора г</w:t>
      </w:r>
      <w:r>
        <w:rPr>
          <w:rFonts w:ascii="Times New Roman" w:eastAsia="Times New Roman" w:hAnsi="Times New Roman" w:cs="Times New Roman"/>
        </w:rPr>
        <w:t>ражданско-правового характера №5</w:t>
      </w:r>
      <w:r>
        <w:rPr>
          <w:rFonts w:ascii="Times New Roman" w:eastAsia="Times New Roman" w:hAnsi="Times New Roman" w:cs="Times New Roman"/>
        </w:rPr>
        <w:t>/2024, заключенного с застрахованным лицом Савенко И.А.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>е ЕФС-1, раздел 1,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общественной организацией</w:t>
      </w:r>
      <w:r>
        <w:rPr>
          <w:rFonts w:ascii="Times New Roman" w:eastAsia="Times New Roman" w:hAnsi="Times New Roman" w:cs="Times New Roman"/>
        </w:rPr>
        <w:t xml:space="preserve"> представлен</w:t>
      </w:r>
      <w:r>
        <w:rPr>
          <w:rFonts w:ascii="Times New Roman" w:eastAsia="Times New Roman" w:hAnsi="Times New Roman" w:cs="Times New Roman"/>
        </w:rPr>
        <w:t xml:space="preserve"> с нарушением срока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договором №05</w:t>
      </w:r>
      <w:r>
        <w:rPr>
          <w:rFonts w:ascii="Times New Roman" w:eastAsia="Times New Roman" w:hAnsi="Times New Roman" w:cs="Times New Roman"/>
        </w:rPr>
        <w:t xml:space="preserve">/2024 от </w:t>
      </w:r>
      <w:r>
        <w:rPr>
          <w:rFonts w:ascii="Times New Roman" w:eastAsia="Times New Roman" w:hAnsi="Times New Roman" w:cs="Times New Roman"/>
        </w:rPr>
        <w:t>01.10.2024</w:t>
      </w:r>
      <w:r>
        <w:rPr>
          <w:rFonts w:ascii="Times New Roman" w:eastAsia="Times New Roman" w:hAnsi="Times New Roman" w:cs="Times New Roman"/>
        </w:rPr>
        <w:t xml:space="preserve">, заключенного между РОО </w:t>
      </w:r>
      <w:r>
        <w:rPr>
          <w:rFonts w:ascii="Times New Roman" w:eastAsia="Times New Roman" w:hAnsi="Times New Roman" w:cs="Times New Roman"/>
        </w:rPr>
        <w:t xml:space="preserve">Ассоциация онкологов ХМАО-Югры </w:t>
      </w:r>
      <w:r>
        <w:rPr>
          <w:rFonts w:ascii="Times New Roman" w:eastAsia="Times New Roman" w:hAnsi="Times New Roman" w:cs="Times New Roman"/>
        </w:rPr>
        <w:t>и Са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енко Ириной Анатольевной, последняя оказывает услугу по ведению бухгалтерского и н</w:t>
      </w:r>
      <w:r>
        <w:rPr>
          <w:rFonts w:ascii="Times New Roman" w:eastAsia="Times New Roman" w:hAnsi="Times New Roman" w:cs="Times New Roman"/>
        </w:rPr>
        <w:t>алогового учета в период с 01.10.2024 по 10.10</w:t>
      </w:r>
      <w:r>
        <w:rPr>
          <w:rFonts w:ascii="Times New Roman" w:eastAsia="Times New Roman" w:hAnsi="Times New Roman" w:cs="Times New Roman"/>
        </w:rPr>
        <w:t>.2024.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примечанием к ст.15.33.2 КоАП РФ </w:t>
      </w:r>
      <w:r>
        <w:rPr>
          <w:rFonts w:ascii="Times New Roman" w:eastAsia="Times New Roman" w:hAnsi="Times New Roman" w:cs="Times New Roman"/>
        </w:rPr>
        <w:t xml:space="preserve">административная ответственность, установленная в отношении должностных лиц настоящей статьей, применяется к лицам, указанным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примечания к </w:t>
      </w:r>
      <w:hyperlink r:id="rId6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>
        <w:rPr>
          <w:rFonts w:ascii="Times New Roman" w:eastAsia="Times New Roman" w:hAnsi="Times New Roman" w:cs="Times New Roman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приведённых в </w:t>
      </w:r>
      <w:hyperlink r:id="rId6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пунктах 4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6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</w:t>
      </w:r>
      <w:r>
        <w:rPr>
          <w:rFonts w:ascii="Times New Roman" w:eastAsia="Times New Roman" w:hAnsi="Times New Roman" w:cs="Times New Roman"/>
        </w:rPr>
        <w:t>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>Савенко Ирина Анатольевна является исполнителем по гражданско-правовому договору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организационно-распорядительными или административно-хозяйственными функциями </w:t>
      </w:r>
      <w:r>
        <w:rPr>
          <w:rFonts w:ascii="Times New Roman" w:eastAsia="Times New Roman" w:hAnsi="Times New Roman" w:cs="Times New Roman"/>
        </w:rPr>
        <w:t xml:space="preserve">в общественной организации </w:t>
      </w:r>
      <w:r>
        <w:rPr>
          <w:rFonts w:ascii="Times New Roman" w:eastAsia="Times New Roman" w:hAnsi="Times New Roman" w:cs="Times New Roman"/>
        </w:rPr>
        <w:t>не наделен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следовательно, не является субъектом правонарушения, предусмотренного ч.1 ст.15.33.2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</w:rPr>
        <w:t>бы мировому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